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E3" w:rsidRDefault="006F46AF" w:rsidP="003815EC">
      <w:pPr>
        <w:widowControl/>
        <w:spacing w:line="580" w:lineRule="exact"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F45FE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附件一：</w:t>
      </w:r>
    </w:p>
    <w:p w:rsidR="00F45FE0" w:rsidRDefault="00F45FE0" w:rsidP="003815EC">
      <w:pPr>
        <w:widowControl/>
        <w:spacing w:line="580" w:lineRule="exact"/>
        <w:jc w:val="center"/>
        <w:rPr>
          <w:rFonts w:ascii="仿宋_GB2312" w:eastAsia="仿宋_GB2312" w:hAnsi="Times New Roman" w:cs="Times New Roman"/>
          <w:b/>
          <w:color w:val="000000"/>
          <w:sz w:val="30"/>
          <w:szCs w:val="30"/>
        </w:rPr>
      </w:pPr>
    </w:p>
    <w:p w:rsidR="00F45FE0" w:rsidRPr="00F45FE0" w:rsidRDefault="00233D80" w:rsidP="003815EC">
      <w:pPr>
        <w:widowControl/>
        <w:spacing w:line="580" w:lineRule="exact"/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32"/>
        </w:rPr>
        <w:t>北京</w:t>
      </w:r>
      <w:r>
        <w:rPr>
          <w:rFonts w:ascii="黑体" w:eastAsia="黑体" w:hAnsi="黑体" w:cs="Times New Roman"/>
          <w:b/>
          <w:color w:val="000000"/>
          <w:sz w:val="32"/>
          <w:szCs w:val="32"/>
        </w:rPr>
        <w:t>师范大学2019年</w:t>
      </w:r>
      <w:r w:rsidR="006E4641" w:rsidRPr="006E4641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全面从严治党</w:t>
      </w:r>
      <w:r>
        <w:rPr>
          <w:rFonts w:ascii="黑体" w:eastAsia="黑体" w:hAnsi="黑体" w:cs="Times New Roman"/>
          <w:b/>
          <w:color w:val="000000"/>
          <w:sz w:val="32"/>
          <w:szCs w:val="32"/>
        </w:rPr>
        <w:t>研究课题</w:t>
      </w:r>
      <w:r>
        <w:rPr>
          <w:rFonts w:ascii="黑体" w:eastAsia="黑体" w:hAnsi="黑体" w:cs="Times New Roman" w:hint="eastAsia"/>
          <w:b/>
          <w:color w:val="000000"/>
          <w:sz w:val="32"/>
          <w:szCs w:val="32"/>
        </w:rPr>
        <w:t>指南</w:t>
      </w:r>
    </w:p>
    <w:p w:rsidR="00F45FE0" w:rsidRPr="00F45FE0" w:rsidRDefault="00F45FE0" w:rsidP="003815EC">
      <w:pPr>
        <w:widowControl/>
        <w:spacing w:line="580" w:lineRule="exact"/>
        <w:jc w:val="center"/>
        <w:rPr>
          <w:rFonts w:ascii="仿宋_GB2312" w:eastAsia="仿宋_GB2312" w:hAnsi="Times New Roman" w:cs="Times New Roman"/>
          <w:b/>
          <w:color w:val="000000"/>
          <w:sz w:val="30"/>
          <w:szCs w:val="30"/>
        </w:rPr>
      </w:pPr>
    </w:p>
    <w:p w:rsidR="003815EC" w:rsidRDefault="00BB28CB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</w:t>
      </w:r>
      <w:r w:rsidR="003C470F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3815EC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高校</w:t>
      </w:r>
      <w:r w:rsidR="003815EC">
        <w:rPr>
          <w:rFonts w:ascii="仿宋_GB2312" w:eastAsia="仿宋_GB2312" w:hAnsi="Times New Roman" w:cs="Times New Roman"/>
          <w:color w:val="000000"/>
          <w:sz w:val="30"/>
          <w:szCs w:val="30"/>
        </w:rPr>
        <w:t>全面从严治党的体制机制研究</w:t>
      </w:r>
    </w:p>
    <w:p w:rsidR="003815EC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2.</w:t>
      </w:r>
      <w:r w:rsidR="002C1F87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推进</w:t>
      </w:r>
      <w:r w:rsidR="00F24692">
        <w:rPr>
          <w:rFonts w:ascii="仿宋_GB2312" w:eastAsia="仿宋_GB2312" w:hAnsi="Times New Roman" w:cs="Times New Roman"/>
          <w:color w:val="000000"/>
          <w:sz w:val="30"/>
          <w:szCs w:val="30"/>
        </w:rPr>
        <w:t>高校更</w:t>
      </w:r>
      <w:r w:rsidR="00F24692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深</w:t>
      </w:r>
      <w:r w:rsidR="00F24692">
        <w:rPr>
          <w:rFonts w:ascii="仿宋_GB2312" w:eastAsia="仿宋_GB2312" w:hAnsi="Times New Roman" w:cs="Times New Roman"/>
          <w:color w:val="000000"/>
          <w:sz w:val="30"/>
          <w:szCs w:val="30"/>
        </w:rPr>
        <w:t>层次更</w:t>
      </w:r>
      <w:r w:rsidR="00F24692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</w:t>
      </w:r>
      <w:r>
        <w:rPr>
          <w:rFonts w:ascii="仿宋_GB2312" w:eastAsia="仿宋_GB2312" w:hAnsi="Times New Roman" w:cs="Times New Roman"/>
          <w:color w:val="000000"/>
          <w:sz w:val="30"/>
          <w:szCs w:val="30"/>
        </w:rPr>
        <w:t>质量</w:t>
      </w:r>
      <w:r>
        <w:rPr>
          <w:rFonts w:ascii="仿宋_GB2312" w:eastAsia="仿宋_GB2312" w:hAnsi="Times New Roman" w:cs="Times New Roman"/>
          <w:color w:val="000000"/>
          <w:sz w:val="30"/>
          <w:szCs w:val="30"/>
        </w:rPr>
        <w:t>“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三转</w:t>
      </w:r>
      <w:r>
        <w:rPr>
          <w:rFonts w:ascii="仿宋_GB2312" w:eastAsia="仿宋_GB2312" w:hAnsi="Times New Roman" w:cs="Times New Roman"/>
          <w:color w:val="000000"/>
          <w:sz w:val="30"/>
          <w:szCs w:val="30"/>
        </w:rPr>
        <w:t>”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研究</w:t>
      </w:r>
    </w:p>
    <w:p w:rsidR="001934BA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3.</w:t>
      </w:r>
      <w:r w:rsidR="003C470F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新时代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高校</w:t>
      </w:r>
      <w:r w:rsidR="003C470F">
        <w:rPr>
          <w:rFonts w:ascii="仿宋_GB2312" w:eastAsia="仿宋_GB2312" w:hAnsi="Times New Roman" w:cs="Times New Roman"/>
          <w:color w:val="000000"/>
          <w:sz w:val="30"/>
          <w:szCs w:val="30"/>
        </w:rPr>
        <w:t>加强党的</w:t>
      </w:r>
      <w:bookmarkStart w:id="0" w:name="_GoBack"/>
      <w:bookmarkEnd w:id="0"/>
      <w:r w:rsidR="003C470F">
        <w:rPr>
          <w:rFonts w:ascii="仿宋_GB2312" w:eastAsia="仿宋_GB2312" w:hAnsi="Times New Roman" w:cs="Times New Roman"/>
          <w:color w:val="000000"/>
          <w:sz w:val="30"/>
          <w:szCs w:val="30"/>
        </w:rPr>
        <w:t>纪律建设研究</w:t>
      </w:r>
    </w:p>
    <w:p w:rsidR="003C470F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4</w:t>
      </w:r>
      <w:r w:rsidR="003C470F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新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形势下高校党内政治生态建设研究</w:t>
      </w:r>
    </w:p>
    <w:p w:rsidR="001140A4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5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高校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强化政治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监督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的理论与实践研究</w:t>
      </w:r>
    </w:p>
    <w:p w:rsidR="001140A4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6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新中国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成立以来党和国家监督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历史演进研究</w:t>
      </w:r>
    </w:p>
    <w:p w:rsidR="001140A4" w:rsidRPr="001140A4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7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1140A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新中国</w:t>
      </w:r>
      <w:r w:rsidR="001140A4">
        <w:rPr>
          <w:rFonts w:ascii="仿宋_GB2312" w:eastAsia="仿宋_GB2312" w:hAnsi="Times New Roman" w:cs="Times New Roman"/>
          <w:color w:val="000000"/>
          <w:sz w:val="30"/>
          <w:szCs w:val="30"/>
        </w:rPr>
        <w:t>成立以来党的纪律建设的经验与启示研究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8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.高校基层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党组织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政治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监督作用发挥研究</w:t>
      </w:r>
    </w:p>
    <w:p w:rsidR="003815EC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9.如何</w:t>
      </w:r>
      <w:r>
        <w:rPr>
          <w:rFonts w:ascii="仿宋_GB2312" w:eastAsia="仿宋_GB2312" w:hAnsi="Times New Roman" w:cs="Times New Roman"/>
          <w:color w:val="000000"/>
          <w:sz w:val="30"/>
          <w:szCs w:val="30"/>
        </w:rPr>
        <w:t>落实二级党组织的主体责任研究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10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高校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二级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纪检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监察机构设置及工作机制研究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11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.高校二级单位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派驻监督的创新实践研究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12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.高校干部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廉政档案管理及运用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调研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13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党员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党规党纪知识储备调研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14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高校廉洁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教育体系建设研究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15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基层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党组织践行监督执纪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“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四种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形态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”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的第一种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形态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路径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16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新形势下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高校廉洁风险防控机制研究</w:t>
      </w:r>
    </w:p>
    <w:p w:rsidR="00233D8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17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高校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基层党组织纪检委员作用发挥研究</w:t>
      </w:r>
    </w:p>
    <w:p w:rsidR="00233D80" w:rsidRDefault="00BB28CB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1</w:t>
      </w:r>
      <w:r w:rsidR="003815EC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8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.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纪委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专责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监督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与职能部门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职能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监督</w:t>
      </w:r>
      <w:r w:rsidR="00233D80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协同</w:t>
      </w:r>
      <w:r w:rsidR="00233D80">
        <w:rPr>
          <w:rFonts w:ascii="仿宋_GB2312" w:eastAsia="仿宋_GB2312" w:hAnsi="Times New Roman" w:cs="Times New Roman"/>
          <w:color w:val="000000"/>
          <w:sz w:val="30"/>
          <w:szCs w:val="30"/>
        </w:rPr>
        <w:t>机制研究</w:t>
      </w:r>
    </w:p>
    <w:p w:rsidR="006E4641" w:rsidRPr="006E4641" w:rsidRDefault="00BB28CB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1</w:t>
      </w:r>
      <w:r w:rsidR="003815EC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9</w:t>
      </w:r>
      <w:r w:rsidR="006E4641" w:rsidRPr="006E4641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.巡察整改工作机制研究</w:t>
      </w:r>
    </w:p>
    <w:p w:rsidR="000F7B1D" w:rsidRPr="00F45FE0" w:rsidRDefault="003815EC" w:rsidP="003815EC">
      <w:pPr>
        <w:spacing w:line="580" w:lineRule="exac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t>20</w:t>
      </w:r>
      <w:r w:rsidR="006E4641" w:rsidRPr="006E4641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.巡察调研及测评方法研究</w:t>
      </w:r>
    </w:p>
    <w:sectPr w:rsidR="000F7B1D" w:rsidRPr="00F4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D0" w:rsidRDefault="00E564D0" w:rsidP="002F33E3">
      <w:r>
        <w:separator/>
      </w:r>
    </w:p>
  </w:endnote>
  <w:endnote w:type="continuationSeparator" w:id="0">
    <w:p w:rsidR="00E564D0" w:rsidRDefault="00E564D0" w:rsidP="002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D0" w:rsidRDefault="00E564D0" w:rsidP="002F33E3">
      <w:r>
        <w:separator/>
      </w:r>
    </w:p>
  </w:footnote>
  <w:footnote w:type="continuationSeparator" w:id="0">
    <w:p w:rsidR="00E564D0" w:rsidRDefault="00E564D0" w:rsidP="002F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13F"/>
    <w:multiLevelType w:val="hybridMultilevel"/>
    <w:tmpl w:val="BAF02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A51712"/>
    <w:multiLevelType w:val="hybridMultilevel"/>
    <w:tmpl w:val="ABAEE634"/>
    <w:lvl w:ilvl="0" w:tplc="5B2AE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976301"/>
    <w:multiLevelType w:val="hybridMultilevel"/>
    <w:tmpl w:val="D6BA2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772D62"/>
    <w:multiLevelType w:val="hybridMultilevel"/>
    <w:tmpl w:val="305806D6"/>
    <w:lvl w:ilvl="0" w:tplc="837CB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9A0662"/>
    <w:multiLevelType w:val="hybridMultilevel"/>
    <w:tmpl w:val="3800DCA2"/>
    <w:lvl w:ilvl="0" w:tplc="D93A11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B24792"/>
    <w:multiLevelType w:val="hybridMultilevel"/>
    <w:tmpl w:val="E404F5AA"/>
    <w:lvl w:ilvl="0" w:tplc="2F66D692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12"/>
    <w:rsid w:val="000F7B1D"/>
    <w:rsid w:val="001140A4"/>
    <w:rsid w:val="00150C8B"/>
    <w:rsid w:val="001569DD"/>
    <w:rsid w:val="0015747F"/>
    <w:rsid w:val="001934BA"/>
    <w:rsid w:val="001F6200"/>
    <w:rsid w:val="00233D80"/>
    <w:rsid w:val="00260773"/>
    <w:rsid w:val="002C1F87"/>
    <w:rsid w:val="002F33E3"/>
    <w:rsid w:val="003815EC"/>
    <w:rsid w:val="003B507D"/>
    <w:rsid w:val="003C470F"/>
    <w:rsid w:val="003C5E63"/>
    <w:rsid w:val="003D4983"/>
    <w:rsid w:val="003F0B3B"/>
    <w:rsid w:val="00407A87"/>
    <w:rsid w:val="0041489C"/>
    <w:rsid w:val="004267F4"/>
    <w:rsid w:val="00433461"/>
    <w:rsid w:val="004519CD"/>
    <w:rsid w:val="00537084"/>
    <w:rsid w:val="00582EAC"/>
    <w:rsid w:val="005F582D"/>
    <w:rsid w:val="006218CC"/>
    <w:rsid w:val="00627312"/>
    <w:rsid w:val="006A2507"/>
    <w:rsid w:val="006B5159"/>
    <w:rsid w:val="006E4641"/>
    <w:rsid w:val="006F46AF"/>
    <w:rsid w:val="00711D2F"/>
    <w:rsid w:val="007E610C"/>
    <w:rsid w:val="00800C9B"/>
    <w:rsid w:val="00873FA0"/>
    <w:rsid w:val="00884A73"/>
    <w:rsid w:val="0090601E"/>
    <w:rsid w:val="00A11EE1"/>
    <w:rsid w:val="00A15D0D"/>
    <w:rsid w:val="00B127DC"/>
    <w:rsid w:val="00B54F8B"/>
    <w:rsid w:val="00BB28CB"/>
    <w:rsid w:val="00BC7826"/>
    <w:rsid w:val="00C03612"/>
    <w:rsid w:val="00C93992"/>
    <w:rsid w:val="00D1217D"/>
    <w:rsid w:val="00DB2932"/>
    <w:rsid w:val="00DD1724"/>
    <w:rsid w:val="00E51B4D"/>
    <w:rsid w:val="00E564D0"/>
    <w:rsid w:val="00E63495"/>
    <w:rsid w:val="00E67260"/>
    <w:rsid w:val="00E9092B"/>
    <w:rsid w:val="00EE0A53"/>
    <w:rsid w:val="00F24692"/>
    <w:rsid w:val="00F45FE0"/>
    <w:rsid w:val="00F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F53D"/>
  <w15:chartTrackingRefBased/>
  <w15:docId w15:val="{7D5E448A-F854-4F40-809F-73003FFD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3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3E3"/>
    <w:rPr>
      <w:sz w:val="18"/>
      <w:szCs w:val="18"/>
    </w:rPr>
  </w:style>
  <w:style w:type="paragraph" w:styleId="a7">
    <w:name w:val="Normal (Web)"/>
    <w:basedOn w:val="a"/>
    <w:uiPriority w:val="99"/>
    <w:unhideWhenUsed/>
    <w:rsid w:val="002F3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F33E3"/>
    <w:rPr>
      <w:color w:val="0000FF"/>
      <w:u w:val="single"/>
    </w:rPr>
  </w:style>
  <w:style w:type="paragraph" w:styleId="a9">
    <w:name w:val="Plain Text"/>
    <w:basedOn w:val="a"/>
    <w:link w:val="aa"/>
    <w:unhideWhenUsed/>
    <w:rsid w:val="000F7B1D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0F7B1D"/>
    <w:rPr>
      <w:rFonts w:ascii="宋体" w:eastAsia="宋体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6F46A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782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C7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2019-09-04T03:32:00Z</cp:lastPrinted>
  <dcterms:created xsi:type="dcterms:W3CDTF">2019-09-09T07:13:00Z</dcterms:created>
  <dcterms:modified xsi:type="dcterms:W3CDTF">2019-09-09T07:13:00Z</dcterms:modified>
</cp:coreProperties>
</file>